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9291" w14:textId="77777777" w:rsidR="00A06E15" w:rsidRPr="00834EA9" w:rsidRDefault="00A06E15">
      <w:pPr>
        <w:spacing w:after="160"/>
        <w:jc w:val="center"/>
        <w:rPr>
          <w:rFonts w:ascii="Times New Roman" w:eastAsia="Times New Roman" w:hAnsi="Times New Roman" w:cs="Times New Roman"/>
          <w:color w:val="000000"/>
        </w:rPr>
      </w:pPr>
    </w:p>
    <w:p w14:paraId="7B799020" w14:textId="77777777" w:rsidR="00A06E15" w:rsidRPr="00834EA9" w:rsidRDefault="00A06E15">
      <w:pPr>
        <w:spacing w:after="160"/>
        <w:jc w:val="center"/>
        <w:rPr>
          <w:rFonts w:ascii="Times New Roman" w:eastAsia="Times New Roman" w:hAnsi="Times New Roman" w:cs="Times New Roman"/>
          <w:color w:val="000000"/>
        </w:rPr>
      </w:pPr>
    </w:p>
    <w:p w14:paraId="019B1876" w14:textId="77777777" w:rsidR="00A06E15" w:rsidRPr="00834EA9" w:rsidRDefault="00A06E15">
      <w:pPr>
        <w:spacing w:after="160"/>
        <w:jc w:val="center"/>
        <w:rPr>
          <w:rFonts w:ascii="Times New Roman" w:eastAsia="Times New Roman" w:hAnsi="Times New Roman" w:cs="Times New Roman"/>
          <w:color w:val="000000"/>
        </w:rPr>
      </w:pPr>
    </w:p>
    <w:p w14:paraId="20FA0CFE" w14:textId="77777777" w:rsidR="00A06E15" w:rsidRPr="00834EA9" w:rsidRDefault="00A06E15">
      <w:pPr>
        <w:spacing w:after="160"/>
        <w:jc w:val="center"/>
        <w:rPr>
          <w:rFonts w:ascii="Times New Roman" w:eastAsia="Times New Roman" w:hAnsi="Times New Roman" w:cs="Times New Roman"/>
          <w:color w:val="000000"/>
        </w:rPr>
      </w:pPr>
    </w:p>
    <w:p w14:paraId="33D12CDD" w14:textId="77777777" w:rsidR="00A06E15" w:rsidRPr="00834EA9" w:rsidRDefault="00A06E15">
      <w:pPr>
        <w:spacing w:after="160"/>
        <w:jc w:val="center"/>
        <w:rPr>
          <w:rFonts w:ascii="Times New Roman" w:eastAsia="Times New Roman" w:hAnsi="Times New Roman" w:cs="Times New Roman"/>
          <w:color w:val="000000"/>
        </w:rPr>
      </w:pPr>
    </w:p>
    <w:p w14:paraId="7AB2E3C9" w14:textId="77777777" w:rsidR="00A06E15" w:rsidRPr="00834EA9" w:rsidRDefault="00A06E15">
      <w:pPr>
        <w:spacing w:after="160"/>
        <w:jc w:val="center"/>
        <w:rPr>
          <w:rFonts w:ascii="Times New Roman" w:eastAsia="Times New Roman" w:hAnsi="Times New Roman" w:cs="Times New Roman"/>
          <w:color w:val="000000"/>
        </w:rPr>
      </w:pPr>
    </w:p>
    <w:p w14:paraId="3BD99D7E" w14:textId="77777777" w:rsidR="00A06E15" w:rsidRPr="00834EA9" w:rsidRDefault="00A06E15">
      <w:pPr>
        <w:spacing w:after="160"/>
        <w:jc w:val="center"/>
        <w:rPr>
          <w:rFonts w:ascii="Times New Roman" w:eastAsia="Times New Roman" w:hAnsi="Times New Roman" w:cs="Times New Roman"/>
          <w:color w:val="000000"/>
        </w:rPr>
      </w:pPr>
    </w:p>
    <w:p w14:paraId="267BADD6" w14:textId="77777777" w:rsidR="00A06E15" w:rsidRPr="00834EA9" w:rsidRDefault="00A06E15">
      <w:pPr>
        <w:spacing w:after="160"/>
        <w:jc w:val="center"/>
        <w:rPr>
          <w:rFonts w:ascii="Times New Roman" w:eastAsia="Times New Roman" w:hAnsi="Times New Roman" w:cs="Times New Roman"/>
          <w:color w:val="000000"/>
        </w:rPr>
      </w:pPr>
    </w:p>
    <w:p w14:paraId="71C8B405" w14:textId="77777777" w:rsidR="00A06E15" w:rsidRPr="00834EA9" w:rsidRDefault="00A06E15">
      <w:pPr>
        <w:spacing w:after="160"/>
        <w:jc w:val="center"/>
        <w:rPr>
          <w:rFonts w:ascii="Times New Roman" w:eastAsia="Times New Roman" w:hAnsi="Times New Roman" w:cs="Times New Roman"/>
          <w:color w:val="000000"/>
        </w:rPr>
      </w:pPr>
    </w:p>
    <w:p w14:paraId="3BAF1662" w14:textId="77777777" w:rsidR="00A06E15" w:rsidRPr="00834EA9" w:rsidRDefault="00A06E15">
      <w:pPr>
        <w:spacing w:after="160"/>
        <w:jc w:val="center"/>
        <w:rPr>
          <w:rFonts w:ascii="Times New Roman" w:eastAsia="Times New Roman" w:hAnsi="Times New Roman" w:cs="Times New Roman"/>
          <w:color w:val="000000"/>
        </w:rPr>
      </w:pPr>
    </w:p>
    <w:p w14:paraId="46FA7D1A" w14:textId="05FAD6BA" w:rsidR="00A06E15" w:rsidRPr="00834EA9" w:rsidRDefault="00E147DA">
      <w:pPr>
        <w:spacing w:after="160" w:line="360" w:lineRule="auto"/>
        <w:jc w:val="center"/>
        <w:rPr>
          <w:rFonts w:ascii="Times New Roman" w:eastAsia="Times New Roman" w:hAnsi="Times New Roman" w:cs="Times New Roman"/>
        </w:rPr>
      </w:pPr>
      <w:r w:rsidRPr="00834EA9">
        <w:rPr>
          <w:rFonts w:ascii="Times New Roman" w:eastAsia="Times New Roman" w:hAnsi="Times New Roman" w:cs="Times New Roman"/>
          <w:color w:val="000000"/>
        </w:rPr>
        <w:t xml:space="preserve">Assignment </w:t>
      </w:r>
      <w:r w:rsidR="00485993" w:rsidRPr="00834EA9">
        <w:rPr>
          <w:rFonts w:ascii="Times New Roman" w:eastAsia="Times New Roman" w:hAnsi="Times New Roman" w:cs="Times New Roman"/>
          <w:color w:val="000000"/>
        </w:rPr>
        <w:t>3</w:t>
      </w:r>
    </w:p>
    <w:p w14:paraId="56E13CAF" w14:textId="77777777" w:rsidR="00A06E15" w:rsidRPr="00834EA9" w:rsidRDefault="00E147DA">
      <w:pPr>
        <w:spacing w:before="240" w:after="240" w:line="360" w:lineRule="auto"/>
        <w:jc w:val="center"/>
        <w:rPr>
          <w:rFonts w:ascii="Times New Roman" w:eastAsia="Times New Roman" w:hAnsi="Times New Roman" w:cs="Times New Roman"/>
        </w:rPr>
      </w:pPr>
      <w:r w:rsidRPr="00834EA9">
        <w:rPr>
          <w:rFonts w:ascii="Times New Roman" w:eastAsia="Times New Roman" w:hAnsi="Times New Roman" w:cs="Times New Roman"/>
        </w:rPr>
        <w:t>Educational Administration &amp; Human Resource Development, Texas A&amp;M University</w:t>
      </w:r>
    </w:p>
    <w:p w14:paraId="19E1ECD4" w14:textId="030C52B3" w:rsidR="00A06E15" w:rsidRPr="00834EA9" w:rsidRDefault="00E147DA">
      <w:pPr>
        <w:spacing w:before="240" w:after="240" w:line="360" w:lineRule="auto"/>
        <w:jc w:val="center"/>
        <w:rPr>
          <w:rFonts w:ascii="Times New Roman" w:eastAsia="Times New Roman" w:hAnsi="Times New Roman" w:cs="Times New Roman"/>
        </w:rPr>
      </w:pPr>
      <w:r w:rsidRPr="00834EA9">
        <w:rPr>
          <w:rFonts w:ascii="Times New Roman" w:eastAsia="Times New Roman" w:hAnsi="Times New Roman" w:cs="Times New Roman"/>
          <w:color w:val="000000"/>
        </w:rPr>
        <w:t>Angela McCormick</w:t>
      </w:r>
    </w:p>
    <w:p w14:paraId="0B474009" w14:textId="77777777" w:rsidR="00A06E15" w:rsidRPr="00834EA9" w:rsidRDefault="00E147DA">
      <w:pPr>
        <w:spacing w:before="240" w:after="240" w:line="360" w:lineRule="auto"/>
        <w:jc w:val="center"/>
        <w:rPr>
          <w:rFonts w:ascii="Times New Roman" w:eastAsia="Times New Roman" w:hAnsi="Times New Roman" w:cs="Times New Roman"/>
        </w:rPr>
      </w:pPr>
      <w:r w:rsidRPr="00834EA9">
        <w:rPr>
          <w:rFonts w:ascii="Times New Roman" w:eastAsia="Times New Roman" w:hAnsi="Times New Roman" w:cs="Times New Roman"/>
          <w:color w:val="000000"/>
        </w:rPr>
        <w:t>EHRD 624: Change Theory</w:t>
      </w:r>
    </w:p>
    <w:p w14:paraId="47704387" w14:textId="77777777" w:rsidR="00A06E15" w:rsidRPr="00834EA9" w:rsidRDefault="00E147DA">
      <w:pPr>
        <w:spacing w:before="240" w:after="240" w:line="360" w:lineRule="auto"/>
        <w:jc w:val="center"/>
        <w:rPr>
          <w:rFonts w:ascii="Times New Roman" w:eastAsia="Times New Roman" w:hAnsi="Times New Roman" w:cs="Times New Roman"/>
        </w:rPr>
      </w:pPr>
      <w:r w:rsidRPr="00834EA9">
        <w:rPr>
          <w:rFonts w:ascii="Times New Roman" w:eastAsia="Times New Roman" w:hAnsi="Times New Roman" w:cs="Times New Roman"/>
          <w:color w:val="000000"/>
        </w:rPr>
        <w:t>Dr. Rose Opengart</w:t>
      </w:r>
    </w:p>
    <w:p w14:paraId="38DB7CF7" w14:textId="6EC2EBED" w:rsidR="00A06E15" w:rsidRPr="00834EA9" w:rsidRDefault="00E147DA">
      <w:pPr>
        <w:spacing w:line="360" w:lineRule="auto"/>
        <w:ind w:left="100"/>
        <w:jc w:val="center"/>
        <w:rPr>
          <w:rFonts w:ascii="Times New Roman" w:eastAsia="Times New Roman" w:hAnsi="Times New Roman" w:cs="Times New Roman"/>
          <w:color w:val="000000"/>
        </w:rPr>
      </w:pPr>
      <w:r w:rsidRPr="00834EA9">
        <w:rPr>
          <w:rFonts w:ascii="Times New Roman" w:eastAsia="Times New Roman" w:hAnsi="Times New Roman" w:cs="Times New Roman"/>
        </w:rPr>
        <w:t xml:space="preserve">November </w:t>
      </w:r>
      <w:r w:rsidR="00485993" w:rsidRPr="00834EA9">
        <w:rPr>
          <w:rFonts w:ascii="Times New Roman" w:eastAsia="Times New Roman" w:hAnsi="Times New Roman" w:cs="Times New Roman"/>
          <w:color w:val="000000"/>
        </w:rPr>
        <w:t>29</w:t>
      </w:r>
      <w:r w:rsidRPr="00834EA9">
        <w:rPr>
          <w:rFonts w:ascii="Times New Roman" w:eastAsia="Times New Roman" w:hAnsi="Times New Roman" w:cs="Times New Roman"/>
          <w:color w:val="000000"/>
        </w:rPr>
        <w:t>, 2020</w:t>
      </w:r>
    </w:p>
    <w:p w14:paraId="5755F149" w14:textId="77777777" w:rsidR="00A06E15" w:rsidRPr="00834EA9" w:rsidRDefault="00A06E15">
      <w:pPr>
        <w:spacing w:line="480" w:lineRule="auto"/>
        <w:rPr>
          <w:rFonts w:ascii="Times New Roman" w:eastAsia="Times New Roman" w:hAnsi="Times New Roman" w:cs="Times New Roman"/>
        </w:rPr>
      </w:pPr>
    </w:p>
    <w:p w14:paraId="17166A65" w14:textId="77777777" w:rsidR="00A06E15" w:rsidRPr="00834EA9" w:rsidRDefault="00A06E15">
      <w:pPr>
        <w:spacing w:line="480" w:lineRule="auto"/>
        <w:rPr>
          <w:rFonts w:ascii="Times New Roman" w:eastAsia="Times New Roman" w:hAnsi="Times New Roman" w:cs="Times New Roman"/>
        </w:rPr>
      </w:pPr>
    </w:p>
    <w:p w14:paraId="51FC553F" w14:textId="77777777" w:rsidR="00A06E15" w:rsidRPr="00834EA9" w:rsidRDefault="00A06E15">
      <w:pPr>
        <w:spacing w:line="480" w:lineRule="auto"/>
        <w:rPr>
          <w:rFonts w:ascii="Times New Roman" w:eastAsia="Times New Roman" w:hAnsi="Times New Roman" w:cs="Times New Roman"/>
        </w:rPr>
      </w:pPr>
    </w:p>
    <w:p w14:paraId="585F2056" w14:textId="77777777" w:rsidR="00A06E15" w:rsidRPr="00834EA9" w:rsidRDefault="00A06E15">
      <w:pPr>
        <w:spacing w:line="480" w:lineRule="auto"/>
        <w:rPr>
          <w:rFonts w:ascii="Times New Roman" w:eastAsia="Times New Roman" w:hAnsi="Times New Roman" w:cs="Times New Roman"/>
        </w:rPr>
      </w:pPr>
    </w:p>
    <w:p w14:paraId="546863E6" w14:textId="77777777" w:rsidR="00A06E15" w:rsidRPr="00834EA9" w:rsidRDefault="00A06E15">
      <w:pPr>
        <w:spacing w:line="480" w:lineRule="auto"/>
        <w:ind w:firstLine="720"/>
        <w:rPr>
          <w:rFonts w:ascii="Times New Roman" w:eastAsia="Times New Roman" w:hAnsi="Times New Roman" w:cs="Times New Roman"/>
        </w:rPr>
      </w:pPr>
    </w:p>
    <w:p w14:paraId="43CD5488" w14:textId="77777777" w:rsidR="00A06E15" w:rsidRPr="00834EA9" w:rsidRDefault="00A06E15">
      <w:pPr>
        <w:spacing w:line="480" w:lineRule="auto"/>
        <w:ind w:firstLine="720"/>
        <w:rPr>
          <w:rFonts w:ascii="Times New Roman" w:eastAsia="Times New Roman" w:hAnsi="Times New Roman" w:cs="Times New Roman"/>
        </w:rPr>
      </w:pPr>
    </w:p>
    <w:p w14:paraId="3730C76A" w14:textId="21DD4B20" w:rsidR="00A06E15" w:rsidRPr="00834EA9" w:rsidRDefault="00A06E15">
      <w:pPr>
        <w:spacing w:line="480" w:lineRule="auto"/>
        <w:ind w:firstLine="720"/>
        <w:rPr>
          <w:rFonts w:ascii="Times New Roman" w:eastAsia="Times New Roman" w:hAnsi="Times New Roman" w:cs="Times New Roman"/>
        </w:rPr>
      </w:pPr>
    </w:p>
    <w:p w14:paraId="4197CC7D" w14:textId="778CA449" w:rsidR="00E55D4F" w:rsidRPr="00834EA9" w:rsidRDefault="00E55D4F">
      <w:pPr>
        <w:spacing w:line="480" w:lineRule="auto"/>
        <w:ind w:firstLine="720"/>
        <w:rPr>
          <w:rFonts w:ascii="Times New Roman" w:eastAsia="Times New Roman" w:hAnsi="Times New Roman" w:cs="Times New Roman"/>
        </w:rPr>
      </w:pPr>
    </w:p>
    <w:p w14:paraId="531C784B" w14:textId="6870F4AF" w:rsidR="00546E26" w:rsidRPr="00834EA9" w:rsidRDefault="00546E26" w:rsidP="00AF3B27">
      <w:pPr>
        <w:pStyle w:val="NormalWeb"/>
        <w:shd w:val="clear" w:color="auto" w:fill="FFFFFF"/>
        <w:spacing w:line="480" w:lineRule="auto"/>
      </w:pPr>
      <w:r w:rsidRPr="00834EA9">
        <w:lastRenderedPageBreak/>
        <w:tab/>
        <w:t xml:space="preserve">All sustainable change initiatives have meaning making structures built into their system. This meaning making is an essential element for the transfer of behaviors and ideas into new values and cultures. The final assignment for the Fall 2020 </w:t>
      </w:r>
      <w:r w:rsidR="00850B39" w:rsidRPr="00834EA9">
        <w:t xml:space="preserve">EHRD 624 </w:t>
      </w:r>
      <w:r w:rsidRPr="00834EA9">
        <w:t>Change Theory course is in line with this idea. Through this paper I will examine my personal experience with resistance to change since starting my master’s program in both my personal and professional development, as well as address how I am and will</w:t>
      </w:r>
      <w:r w:rsidR="00850B39" w:rsidRPr="00834EA9">
        <w:t xml:space="preserve"> respond to it</w:t>
      </w:r>
      <w:r w:rsidRPr="00834EA9">
        <w:t xml:space="preserve"> going forward. Furthermore, I will communicate my plan to integrate the new learning gained through this course into my life to experience actual change. Finally, I will </w:t>
      </w:r>
      <w:r w:rsidR="00AF3B27" w:rsidRPr="00834EA9">
        <w:t>compare the nature of individual change with that of organizational change highlighting key similarities and differences.</w:t>
      </w:r>
    </w:p>
    <w:p w14:paraId="02EE993B" w14:textId="4FC3B1C5" w:rsidR="00516B97" w:rsidRPr="00834EA9" w:rsidRDefault="00850B39" w:rsidP="0054663D">
      <w:pPr>
        <w:pStyle w:val="NormalWeb"/>
        <w:shd w:val="clear" w:color="auto" w:fill="FFFFFF"/>
        <w:spacing w:line="480" w:lineRule="auto"/>
        <w:ind w:firstLine="720"/>
      </w:pPr>
      <w:r w:rsidRPr="00834EA9">
        <w:t>In t</w:t>
      </w:r>
      <w:r w:rsidR="00516B97" w:rsidRPr="00834EA9">
        <w:t>he past two years</w:t>
      </w:r>
      <w:r w:rsidRPr="00834EA9">
        <w:t xml:space="preserve"> I have undergone substantial change</w:t>
      </w:r>
      <w:r w:rsidR="00516B97" w:rsidRPr="00834EA9">
        <w:t xml:space="preserve">. I </w:t>
      </w:r>
      <w:r w:rsidR="00A028D8">
        <w:t>moved</w:t>
      </w:r>
      <w:r w:rsidR="00516B97" w:rsidRPr="00834EA9">
        <w:t xml:space="preserve"> international</w:t>
      </w:r>
      <w:r w:rsidR="00A028D8">
        <w:t>ly</w:t>
      </w:r>
      <w:r w:rsidR="00516B97" w:rsidRPr="00834EA9">
        <w:t>, shift</w:t>
      </w:r>
      <w:r w:rsidR="00A028D8">
        <w:t>ed</w:t>
      </w:r>
      <w:r w:rsidR="00516B97" w:rsidRPr="00834EA9">
        <w:t xml:space="preserve"> my </w:t>
      </w:r>
      <w:r w:rsidRPr="00834EA9">
        <w:t>professional</w:t>
      </w:r>
      <w:r w:rsidR="00516B97" w:rsidRPr="00834EA9">
        <w:t xml:space="preserve"> role, and began this master’s program. As with any change, those three external changes could be further broken down into smaller elements of both internal and external </w:t>
      </w:r>
      <w:r w:rsidR="00A028D8">
        <w:t>transitions</w:t>
      </w:r>
      <w:r w:rsidR="00516B97" w:rsidRPr="00834EA9">
        <w:t xml:space="preserve">. I have felt resistance to </w:t>
      </w:r>
      <w:r w:rsidR="009E682A" w:rsidRPr="00834EA9">
        <w:t>each of</w:t>
      </w:r>
      <w:r w:rsidR="00516B97" w:rsidRPr="00834EA9">
        <w:t xml:space="preserve"> these.</w:t>
      </w:r>
      <w:r w:rsidRPr="00834EA9">
        <w:t xml:space="preserve"> </w:t>
      </w:r>
      <w:r w:rsidR="00516B97" w:rsidRPr="00834EA9">
        <w:t xml:space="preserve"> Although I initially embraced the </w:t>
      </w:r>
      <w:r w:rsidRPr="00834EA9">
        <w:t xml:space="preserve">ease </w:t>
      </w:r>
      <w:r w:rsidR="00516B97" w:rsidRPr="00834EA9">
        <w:t>with which Choi and Ruona</w:t>
      </w:r>
      <w:r w:rsidR="00834EA9" w:rsidRPr="00834EA9">
        <w:t xml:space="preserve"> </w:t>
      </w:r>
      <w:sdt>
        <w:sdtPr>
          <w:id w:val="-1829055820"/>
          <w:citation/>
        </w:sdtPr>
        <w:sdtEndPr/>
        <w:sdtContent>
          <w:r w:rsidR="00834EA9" w:rsidRPr="00834EA9">
            <w:fldChar w:fldCharType="begin"/>
          </w:r>
          <w:r w:rsidR="00834EA9" w:rsidRPr="00834EA9">
            <w:instrText xml:space="preserve"> CITATION Cho11 \l 1033 </w:instrText>
          </w:r>
          <w:r w:rsidR="00834EA9" w:rsidRPr="00834EA9">
            <w:fldChar w:fldCharType="separate"/>
          </w:r>
          <w:r w:rsidR="00834EA9" w:rsidRPr="00834EA9">
            <w:rPr>
              <w:noProof/>
            </w:rPr>
            <w:t>(Choi &amp; Ruona, 2011)</w:t>
          </w:r>
          <w:r w:rsidR="00834EA9" w:rsidRPr="00834EA9">
            <w:fldChar w:fldCharType="end"/>
          </w:r>
        </w:sdtContent>
      </w:sdt>
      <w:r w:rsidR="00516B97" w:rsidRPr="00834EA9">
        <w:t xml:space="preserve"> exchanged </w:t>
      </w:r>
      <w:r w:rsidRPr="00834EA9">
        <w:t>“</w:t>
      </w:r>
      <w:r w:rsidR="00516B97" w:rsidRPr="00834EA9">
        <w:t>resistance to change</w:t>
      </w:r>
      <w:r w:rsidRPr="00834EA9">
        <w:t>”</w:t>
      </w:r>
      <w:r w:rsidR="00516B97" w:rsidRPr="00834EA9">
        <w:t xml:space="preserve"> for </w:t>
      </w:r>
      <w:r w:rsidRPr="00834EA9">
        <w:t>“</w:t>
      </w:r>
      <w:r w:rsidR="00516B97" w:rsidRPr="00834EA9">
        <w:t>readiness for change</w:t>
      </w:r>
      <w:r w:rsidRPr="00834EA9">
        <w:t>,”</w:t>
      </w:r>
      <w:r w:rsidR="00516B97" w:rsidRPr="00834EA9">
        <w:t xml:space="preserve"> </w:t>
      </w:r>
      <w:r w:rsidRPr="00834EA9">
        <w:t>upon reflection I</w:t>
      </w:r>
      <w:r w:rsidR="00516B97" w:rsidRPr="00834EA9">
        <w:t xml:space="preserve"> </w:t>
      </w:r>
      <w:r w:rsidRPr="00834EA9">
        <w:t>see it more like driving forces and restraining forces in a force-field analysis</w:t>
      </w:r>
      <w:r w:rsidR="00A028D8">
        <w:t xml:space="preserve"> </w:t>
      </w:r>
      <w:sdt>
        <w:sdtPr>
          <w:id w:val="893398039"/>
          <w:citation/>
        </w:sdtPr>
        <w:sdtContent>
          <w:r w:rsidR="00A028D8">
            <w:fldChar w:fldCharType="begin"/>
          </w:r>
          <w:r w:rsidR="00A028D8">
            <w:instrText xml:space="preserve"> CITATION Pal17 \l 1033 </w:instrText>
          </w:r>
          <w:r w:rsidR="00A028D8">
            <w:fldChar w:fldCharType="separate"/>
          </w:r>
          <w:r w:rsidR="00A028D8">
            <w:rPr>
              <w:noProof/>
            </w:rPr>
            <w:t>(Palmer, Dunford, &amp; Buchanan, 2017)</w:t>
          </w:r>
          <w:r w:rsidR="00A028D8">
            <w:fldChar w:fldCharType="end"/>
          </w:r>
        </w:sdtContent>
      </w:sdt>
      <w:r w:rsidR="00516B97" w:rsidRPr="00834EA9">
        <w:t>.</w:t>
      </w:r>
      <w:r w:rsidRPr="00834EA9">
        <w:t xml:space="preserve"> I experienced resistance in releasing the competence and significance I had in my former </w:t>
      </w:r>
      <w:r w:rsidR="0054663D" w:rsidRPr="00834EA9">
        <w:t>location/</w:t>
      </w:r>
      <w:r w:rsidRPr="00834EA9">
        <w:t>role.</w:t>
      </w:r>
      <w:r w:rsidR="00516B97" w:rsidRPr="00834EA9">
        <w:t xml:space="preserve"> </w:t>
      </w:r>
      <w:r w:rsidRPr="00834EA9">
        <w:t>A</w:t>
      </w:r>
      <w:r w:rsidR="0054663D" w:rsidRPr="00834EA9">
        <w:t>n</w:t>
      </w:r>
      <w:r w:rsidRPr="00834EA9">
        <w:t xml:space="preserve"> </w:t>
      </w:r>
      <w:r w:rsidR="0054663D" w:rsidRPr="00834EA9">
        <w:t xml:space="preserve">active engagement to build </w:t>
      </w:r>
      <w:r w:rsidRPr="00834EA9">
        <w:t>readiness for change</w:t>
      </w:r>
      <w:r w:rsidR="0054663D" w:rsidRPr="00834EA9">
        <w:t xml:space="preserve"> that targets this resistance is clarifying the vision in the relocation and creating an action plan to gain the needed skills. </w:t>
      </w:r>
      <w:r w:rsidR="00B34F37" w:rsidRPr="00834EA9">
        <w:t xml:space="preserve">As we have seen in the text, resistance </w:t>
      </w:r>
      <w:r w:rsidR="0054663D" w:rsidRPr="00834EA9">
        <w:t xml:space="preserve">can threaten overall performance, but also provide constructive feedback for what values are being threatened </w:t>
      </w:r>
      <w:sdt>
        <w:sdtPr>
          <w:id w:val="88286719"/>
          <w:citation/>
        </w:sdtPr>
        <w:sdtContent>
          <w:r w:rsidR="00A028D8">
            <w:fldChar w:fldCharType="begin"/>
          </w:r>
          <w:r w:rsidR="00A028D8">
            <w:instrText xml:space="preserve">CITATION Pal17 \p 273 \t  \l 1033 </w:instrText>
          </w:r>
          <w:r w:rsidR="00A028D8">
            <w:fldChar w:fldCharType="separate"/>
          </w:r>
          <w:r w:rsidR="00A028D8">
            <w:rPr>
              <w:noProof/>
            </w:rPr>
            <w:t>(Palmer, Dunford, &amp; Buchanan, 2017, p. 273)</w:t>
          </w:r>
          <w:r w:rsidR="00A028D8">
            <w:fldChar w:fldCharType="end"/>
          </w:r>
        </w:sdtContent>
      </w:sdt>
      <w:r w:rsidR="0054663D" w:rsidRPr="00834EA9">
        <w:t xml:space="preserve">. Personal awareness is key as </w:t>
      </w:r>
      <w:r w:rsidR="00FA2231" w:rsidRPr="00834EA9">
        <w:t>at this point because when our significance, competence, or likeability is threatened we run to our preferred defense mechanism to deal with the threat</w:t>
      </w:r>
      <w:r w:rsidR="00A028D8">
        <w:t xml:space="preserve"> </w:t>
      </w:r>
      <w:r w:rsidR="00A028D8">
        <w:rPr>
          <w:noProof/>
        </w:rPr>
        <w:t>(Tamm, 2015)</w:t>
      </w:r>
      <w:r w:rsidR="00FA2231" w:rsidRPr="00834EA9">
        <w:t xml:space="preserve">. </w:t>
      </w:r>
      <w:r w:rsidR="00B34F37" w:rsidRPr="00834EA9">
        <w:t xml:space="preserve">I have </w:t>
      </w:r>
      <w:r w:rsidR="00B34F37" w:rsidRPr="00834EA9">
        <w:lastRenderedPageBreak/>
        <w:t xml:space="preserve">experienced </w:t>
      </w:r>
      <w:r w:rsidR="00A028D8">
        <w:t>these threats</w:t>
      </w:r>
      <w:r w:rsidR="00B34F37" w:rsidRPr="00834EA9">
        <w:t xml:space="preserve"> as I have needed to present myself in</w:t>
      </w:r>
      <w:r w:rsidR="00FA2231" w:rsidRPr="00834EA9">
        <w:t>to</w:t>
      </w:r>
      <w:r w:rsidR="00B34F37" w:rsidRPr="00834EA9">
        <w:t xml:space="preserve"> a new community, the TAMU learning community, while </w:t>
      </w:r>
      <w:r w:rsidR="00A028D8">
        <w:t xml:space="preserve">simultaneously </w:t>
      </w:r>
      <w:r w:rsidR="00B34F37" w:rsidRPr="00834EA9">
        <w:t xml:space="preserve">renegotiating my roles and work identities. </w:t>
      </w:r>
      <w:r w:rsidR="00A028D8">
        <w:t>T</w:t>
      </w:r>
      <w:r w:rsidR="00FA2231" w:rsidRPr="00834EA9">
        <w:t>he terminology of resistance and readiness</w:t>
      </w:r>
      <w:r w:rsidR="00A028D8" w:rsidRPr="00834EA9">
        <w:t xml:space="preserve"> have </w:t>
      </w:r>
      <w:r w:rsidR="00A028D8">
        <w:t>been</w:t>
      </w:r>
      <w:r w:rsidR="00FA2231" w:rsidRPr="00834EA9">
        <w:t xml:space="preserve"> helpful tools in assisting my alignment and diagnosing my reticence with the changes around me. </w:t>
      </w:r>
      <w:r w:rsidR="00500E64" w:rsidRPr="00834EA9">
        <w:t xml:space="preserve">  </w:t>
      </w:r>
    </w:p>
    <w:p w14:paraId="3051EBA8" w14:textId="5E939FDE" w:rsidR="007E56A2" w:rsidRPr="00834EA9" w:rsidRDefault="004B21A7" w:rsidP="00516B97">
      <w:pPr>
        <w:pStyle w:val="NormalWeb"/>
        <w:shd w:val="clear" w:color="auto" w:fill="FFFFFF"/>
        <w:spacing w:line="480" w:lineRule="auto"/>
      </w:pPr>
      <w:r w:rsidRPr="00834EA9">
        <w:tab/>
        <w:t>As far as</w:t>
      </w:r>
      <w:r w:rsidR="00AF3B27" w:rsidRPr="00834EA9">
        <w:t xml:space="preserve"> a plan for</w:t>
      </w:r>
      <w:r w:rsidRPr="00834EA9">
        <w:t xml:space="preserve"> integration</w:t>
      </w:r>
      <w:r w:rsidR="00AF3B27" w:rsidRPr="00834EA9">
        <w:t xml:space="preserve"> of the material from this semester into my personal and professional life, I see three key areas:  new vocabulary, new tools, and new culture building axioms. Having long lived and worked cross-culturally</w:t>
      </w:r>
      <w:r w:rsidR="00A028D8">
        <w:t>,</w:t>
      </w:r>
      <w:r w:rsidR="00AF3B27" w:rsidRPr="00834EA9">
        <w:t xml:space="preserve"> </w:t>
      </w:r>
      <w:r w:rsidR="007E56A2" w:rsidRPr="00834EA9">
        <w:t xml:space="preserve">my </w:t>
      </w:r>
      <w:r w:rsidR="00A028D8">
        <w:t>ability</w:t>
      </w:r>
      <w:r w:rsidR="007E56A2" w:rsidRPr="00834EA9">
        <w:t xml:space="preserve"> to live with</w:t>
      </w:r>
      <w:r w:rsidR="00AF3B27" w:rsidRPr="00834EA9">
        <w:t xml:space="preserve"> </w:t>
      </w:r>
      <w:r w:rsidR="00A028D8">
        <w:t>heightened</w:t>
      </w:r>
      <w:r w:rsidR="00AF3B27" w:rsidRPr="00834EA9">
        <w:t xml:space="preserve"> levels of uncertainty and an expectation of constant transition</w:t>
      </w:r>
      <w:r w:rsidR="00A028D8">
        <w:t xml:space="preserve"> is strong</w:t>
      </w:r>
      <w:r w:rsidR="00AF3B27" w:rsidRPr="00834EA9">
        <w:t>.</w:t>
      </w:r>
      <w:r w:rsidR="007E56A2" w:rsidRPr="00834EA9">
        <w:t xml:space="preserve"> The vocabulary that this course introduced me to however, will significantly aid my </w:t>
      </w:r>
      <w:r w:rsidR="00A028D8" w:rsidRPr="00834EA9">
        <w:t>capacity</w:t>
      </w:r>
      <w:r w:rsidR="007E56A2" w:rsidRPr="00834EA9">
        <w:t xml:space="preserve"> to personally process a</w:t>
      </w:r>
      <w:r w:rsidR="00A028D8">
        <w:t>s</w:t>
      </w:r>
      <w:r w:rsidR="007E56A2" w:rsidRPr="00834EA9">
        <w:t xml:space="preserve"> well as externally communicate needed ideas.  The six-fold images of change management, the clear concepts of communication strategies, approaches, even the ideas of readiness versus resistance to change each offers precision that increases personal awareness, minimizes holes in assumptions, and widens the scope of successful brainstorming and implementation sessions. New tools </w:t>
      </w:r>
      <w:r w:rsidR="00016FCC" w:rsidRPr="00834EA9">
        <w:t xml:space="preserve">including diagnostic ones like Bolman and Deal’s four-frame model, or the “imaginative development” analysis tool of scenario planning </w:t>
      </w:r>
      <w:sdt>
        <w:sdtPr>
          <w:id w:val="970322610"/>
          <w:citation/>
        </w:sdtPr>
        <w:sdtContent>
          <w:r w:rsidR="00512689">
            <w:fldChar w:fldCharType="begin"/>
          </w:r>
          <w:r w:rsidR="00512689">
            <w:instrText xml:space="preserve">CITATION Pal17 \p 111 \t  \l 1033 </w:instrText>
          </w:r>
          <w:r w:rsidR="00512689">
            <w:fldChar w:fldCharType="separate"/>
          </w:r>
          <w:r w:rsidR="00512689">
            <w:rPr>
              <w:noProof/>
            </w:rPr>
            <w:t>(Palmer, Dunford, &amp; Buchanan, 2017, p. 111)</w:t>
          </w:r>
          <w:r w:rsidR="00512689">
            <w:fldChar w:fldCharType="end"/>
          </w:r>
        </w:sdtContent>
      </w:sdt>
      <w:r w:rsidR="00016FCC" w:rsidRPr="00834EA9">
        <w:t xml:space="preserve">, even cultivating “the five habits of disruptive innovators” </w:t>
      </w:r>
      <w:sdt>
        <w:sdtPr>
          <w:id w:val="-302391639"/>
          <w:citation/>
        </w:sdtPr>
        <w:sdtContent>
          <w:r w:rsidR="00512689">
            <w:fldChar w:fldCharType="begin"/>
          </w:r>
          <w:r w:rsidR="00512689">
            <w:instrText xml:space="preserve">CITATION Pal17 \p 150 \t  \l 1033 </w:instrText>
          </w:r>
          <w:r w:rsidR="00512689">
            <w:fldChar w:fldCharType="separate"/>
          </w:r>
          <w:r w:rsidR="00512689">
            <w:rPr>
              <w:noProof/>
            </w:rPr>
            <w:t>(Palmer, Dunford, &amp; Buchanan, 2017, p. 150)</w:t>
          </w:r>
          <w:r w:rsidR="00512689">
            <w:fldChar w:fldCharType="end"/>
          </w:r>
        </w:sdtContent>
      </w:sdt>
      <w:r w:rsidR="00512689">
        <w:t xml:space="preserve"> </w:t>
      </w:r>
      <w:r w:rsidR="00016FCC" w:rsidRPr="00834EA9">
        <w:t>have become a wonderful resource for increasing my leadership and capacity building skills. I have marked useful tools particular to my professional role with tabs in the Managing Organizational Change text to quickly access the ideas when needed. Finally, I have chosen to adopt a few culture building axioms that I extracted from the text. The first i</w:t>
      </w:r>
      <w:r w:rsidR="001C0262" w:rsidRPr="00834EA9">
        <w:t>s from Susan Mohrman and Edward Lawler as presented by Palmer et al.</w:t>
      </w:r>
      <w:r w:rsidR="00512689">
        <w:t xml:space="preserve"> as </w:t>
      </w:r>
      <w:r w:rsidR="001C0262" w:rsidRPr="00834EA9">
        <w:t>the need to argue for a “next practice” and a “best practice” perspective in our ever-changing world</w:t>
      </w:r>
      <w:sdt>
        <w:sdtPr>
          <w:id w:val="1085112612"/>
          <w:citation/>
        </w:sdtPr>
        <w:sdtContent>
          <w:r w:rsidR="00512689">
            <w:fldChar w:fldCharType="begin"/>
          </w:r>
          <w:r w:rsidR="00512689">
            <w:instrText xml:space="preserve">CITATION Pal17 \p 63 \t  \l 1033 </w:instrText>
          </w:r>
          <w:r w:rsidR="00512689">
            <w:fldChar w:fldCharType="separate"/>
          </w:r>
          <w:r w:rsidR="00512689">
            <w:rPr>
              <w:noProof/>
            </w:rPr>
            <w:t xml:space="preserve"> (Palmer, Dunford, &amp; Buchanan, 2017, p. 63)</w:t>
          </w:r>
          <w:r w:rsidR="00512689">
            <w:fldChar w:fldCharType="end"/>
          </w:r>
        </w:sdtContent>
      </w:sdt>
      <w:r w:rsidR="001C0262" w:rsidRPr="00834EA9">
        <w:t xml:space="preserve">. </w:t>
      </w:r>
      <w:r w:rsidR="001C0262" w:rsidRPr="00834EA9">
        <w:rPr>
          <w:i/>
          <w:iCs/>
        </w:rPr>
        <w:t xml:space="preserve">Next </w:t>
      </w:r>
      <w:r w:rsidR="00193247" w:rsidRPr="00834EA9">
        <w:rPr>
          <w:i/>
          <w:iCs/>
        </w:rPr>
        <w:t>p</w:t>
      </w:r>
      <w:r w:rsidR="001C0262" w:rsidRPr="00834EA9">
        <w:rPr>
          <w:i/>
          <w:iCs/>
        </w:rPr>
        <w:t xml:space="preserve">ractice, </w:t>
      </w:r>
      <w:r w:rsidR="00193247" w:rsidRPr="00834EA9">
        <w:rPr>
          <w:i/>
          <w:iCs/>
        </w:rPr>
        <w:t>b</w:t>
      </w:r>
      <w:r w:rsidR="001C0262" w:rsidRPr="00834EA9">
        <w:rPr>
          <w:i/>
          <w:iCs/>
        </w:rPr>
        <w:t xml:space="preserve">est </w:t>
      </w:r>
      <w:r w:rsidR="00193247" w:rsidRPr="00834EA9">
        <w:rPr>
          <w:i/>
          <w:iCs/>
        </w:rPr>
        <w:t>p</w:t>
      </w:r>
      <w:r w:rsidR="001C0262" w:rsidRPr="00834EA9">
        <w:rPr>
          <w:i/>
          <w:iCs/>
        </w:rPr>
        <w:t xml:space="preserve">ractice </w:t>
      </w:r>
      <w:r w:rsidR="001C0262" w:rsidRPr="00834EA9">
        <w:t xml:space="preserve">for me signifies the need to be applying </w:t>
      </w:r>
      <w:r w:rsidR="001C0262" w:rsidRPr="00834EA9">
        <w:lastRenderedPageBreak/>
        <w:t>the best of what we know today while seeking what will work better for tomorrow. The other axiom I have pulled from the text is based on ideas from Amy Edmondson and her observations of how organizations respond to failure as Palmer et al. introduce her continuum from blameworthy to praiseworthy failures</w:t>
      </w:r>
      <w:sdt>
        <w:sdtPr>
          <w:id w:val="1736739265"/>
          <w:citation/>
        </w:sdtPr>
        <w:sdtContent>
          <w:r w:rsidR="00512689">
            <w:fldChar w:fldCharType="begin"/>
          </w:r>
          <w:r w:rsidR="00512689">
            <w:instrText xml:space="preserve">CITATION Pal17 \p 84 \t  \l 1033 </w:instrText>
          </w:r>
          <w:r w:rsidR="00512689">
            <w:fldChar w:fldCharType="separate"/>
          </w:r>
          <w:r w:rsidR="00512689">
            <w:rPr>
              <w:noProof/>
            </w:rPr>
            <w:t xml:space="preserve"> (Palmer, Dunford, &amp; Buchanan, 2017, p. 84)</w:t>
          </w:r>
          <w:r w:rsidR="00512689">
            <w:fldChar w:fldCharType="end"/>
          </w:r>
        </w:sdtContent>
      </w:sdt>
      <w:r w:rsidR="001C0262" w:rsidRPr="00834EA9">
        <w:t xml:space="preserve">. </w:t>
      </w:r>
      <w:r w:rsidR="001C0262" w:rsidRPr="00834EA9">
        <w:rPr>
          <w:i/>
          <w:iCs/>
        </w:rPr>
        <w:t>Look for praiseworthy failures</w:t>
      </w:r>
      <w:r w:rsidR="001C0262" w:rsidRPr="00834EA9">
        <w:t xml:space="preserve"> in yourself and in others. As a culture building axiom of creating a willingness to try new things as well as being gentle with co-workers and your own self in the process.</w:t>
      </w:r>
    </w:p>
    <w:p w14:paraId="29FC7E01" w14:textId="6A3FD806" w:rsidR="00512689" w:rsidRDefault="00AB5493" w:rsidP="00512689">
      <w:pPr>
        <w:pStyle w:val="NormalWeb"/>
        <w:shd w:val="clear" w:color="auto" w:fill="FFFFFF"/>
        <w:spacing w:line="480" w:lineRule="auto"/>
      </w:pPr>
      <w:r w:rsidRPr="00834EA9">
        <w:tab/>
        <w:t xml:space="preserve">In studying change on an organizational level, I was constantly struck by the application possible on an individual level. </w:t>
      </w:r>
      <w:r w:rsidR="009747FF" w:rsidRPr="00834EA9">
        <w:t>The scales and the references must be adjusted</w:t>
      </w:r>
      <w:r w:rsidR="00F2410E" w:rsidRPr="00834EA9">
        <w:t>,</w:t>
      </w:r>
      <w:r w:rsidR="009747FF" w:rsidRPr="00834EA9">
        <w:t xml:space="preserve"> b</w:t>
      </w:r>
      <w:r w:rsidR="00F2410E" w:rsidRPr="00834EA9">
        <w:t xml:space="preserve">ut </w:t>
      </w:r>
      <w:r w:rsidR="009747FF" w:rsidRPr="00834EA9">
        <w:t>many of the same tools and vocabulary could assist someone in navigating their own personal change</w:t>
      </w:r>
      <w:r w:rsidR="00512689">
        <w:t>, as I have already mentioned personally</w:t>
      </w:r>
      <w:r w:rsidR="009747FF" w:rsidRPr="00834EA9">
        <w:t>.</w:t>
      </w:r>
      <w:r w:rsidR="00F2410E" w:rsidRPr="00834EA9">
        <w:t xml:space="preserve"> The key distinctions I see center on the ideas of trust, unity, and authority. In organizational change these three areas that can be massive time and energy expenditures while on an individual level they are already in place. Another </w:t>
      </w:r>
      <w:r w:rsidR="009747FF" w:rsidRPr="00834EA9">
        <w:t xml:space="preserve">difference that I noted was one of agency. In an organization, one of the roles of a change manager is to increase agency across the company to see the change take hold and reform norms and habits. Ultimately, a change manager might do a poor or stellar job at this role but still not see the results manifest in everyone because each person involved has a holistic life that is impacting the key choices that need to be made along the way. </w:t>
      </w:r>
      <w:r w:rsidR="00F2410E" w:rsidRPr="00834EA9">
        <w:t xml:space="preserve">In these cases, a change manager has many options ranging from accepting defeat, to eliminating the problematic employee. On an individual level, the capacity to act towards one’s desired change is a </w:t>
      </w:r>
      <w:r w:rsidR="00193247" w:rsidRPr="00834EA9">
        <w:t xml:space="preserve">binary success or fail metric. </w:t>
      </w:r>
      <w:r w:rsidR="00512689">
        <w:t>Overall organizations operate similarly to living systems and the interchangeable applications of personal and corporate change strategies should be considered as helpful for both.</w:t>
      </w:r>
    </w:p>
    <w:p w14:paraId="2E4F5AB6" w14:textId="41DB78EC" w:rsidR="00512689" w:rsidRPr="00834EA9" w:rsidRDefault="00512689" w:rsidP="00512689">
      <w:pPr>
        <w:pStyle w:val="NormalWeb"/>
        <w:shd w:val="clear" w:color="auto" w:fill="FFFFFF"/>
        <w:spacing w:line="480" w:lineRule="auto"/>
      </w:pPr>
      <w:r>
        <w:lastRenderedPageBreak/>
        <w:tab/>
        <w:t>Overall, this course has been a rich resource for me personally and professionally. I am thankful for the required opportunity to reflect and capture some of the learning in this final assignment.</w:t>
      </w:r>
    </w:p>
    <w:p w14:paraId="3D2B6188" w14:textId="10771521" w:rsidR="003646C0" w:rsidRPr="00834EA9" w:rsidRDefault="003646C0" w:rsidP="00FA2231">
      <w:pPr>
        <w:pStyle w:val="NormalWeb"/>
        <w:shd w:val="clear" w:color="auto" w:fill="FFFFFF"/>
        <w:spacing w:line="480" w:lineRule="auto"/>
      </w:pPr>
    </w:p>
    <w:p w14:paraId="43723D9F" w14:textId="77777777" w:rsidR="003646C0" w:rsidRPr="00834EA9" w:rsidRDefault="003646C0" w:rsidP="00FA2231">
      <w:pPr>
        <w:pStyle w:val="NormalWeb"/>
        <w:shd w:val="clear" w:color="auto" w:fill="FFFFFF"/>
        <w:spacing w:line="480" w:lineRule="auto"/>
      </w:pPr>
    </w:p>
    <w:sdt>
      <w:sdtPr>
        <w:rPr>
          <w:rFonts w:ascii="Times New Roman" w:hAnsi="Times New Roman" w:cs="Times New Roman"/>
          <w:b w:val="0"/>
          <w:sz w:val="24"/>
          <w:szCs w:val="24"/>
        </w:rPr>
        <w:id w:val="567997627"/>
        <w:docPartObj>
          <w:docPartGallery w:val="Bibliographies"/>
          <w:docPartUnique/>
        </w:docPartObj>
      </w:sdtPr>
      <w:sdtEndPr/>
      <w:sdtContent>
        <w:p w14:paraId="7F98D159" w14:textId="7CCCE35D" w:rsidR="003646C0" w:rsidRPr="00834EA9" w:rsidRDefault="003646C0" w:rsidP="003646C0">
          <w:pPr>
            <w:pStyle w:val="Heading1"/>
            <w:jc w:val="center"/>
            <w:rPr>
              <w:rFonts w:ascii="Times New Roman" w:hAnsi="Times New Roman" w:cs="Times New Roman"/>
              <w:b w:val="0"/>
              <w:bCs/>
              <w:sz w:val="24"/>
              <w:szCs w:val="24"/>
            </w:rPr>
          </w:pPr>
          <w:r w:rsidRPr="00834EA9">
            <w:rPr>
              <w:rFonts w:ascii="Times New Roman" w:hAnsi="Times New Roman" w:cs="Times New Roman"/>
              <w:b w:val="0"/>
              <w:bCs/>
              <w:sz w:val="24"/>
              <w:szCs w:val="24"/>
            </w:rPr>
            <w:t>References</w:t>
          </w:r>
        </w:p>
        <w:sdt>
          <w:sdtPr>
            <w:rPr>
              <w:rFonts w:ascii="Times New Roman" w:hAnsi="Times New Roman" w:cs="Times New Roman"/>
            </w:rPr>
            <w:id w:val="-573587230"/>
            <w:bibliography/>
          </w:sdtPr>
          <w:sdtEndPr/>
          <w:sdtContent>
            <w:p w14:paraId="115D9C00" w14:textId="77777777" w:rsidR="003646C0" w:rsidRPr="00834EA9" w:rsidRDefault="003646C0" w:rsidP="00834EA9">
              <w:pPr>
                <w:pStyle w:val="Bibliography"/>
                <w:spacing w:line="480" w:lineRule="auto"/>
                <w:ind w:left="720" w:hanging="720"/>
                <w:rPr>
                  <w:rFonts w:ascii="Times New Roman" w:hAnsi="Times New Roman" w:cs="Times New Roman"/>
                  <w:noProof/>
                </w:rPr>
              </w:pPr>
              <w:r w:rsidRPr="00834EA9">
                <w:rPr>
                  <w:rFonts w:ascii="Times New Roman" w:hAnsi="Times New Roman" w:cs="Times New Roman"/>
                </w:rPr>
                <w:fldChar w:fldCharType="begin"/>
              </w:r>
              <w:r w:rsidRPr="00D23FB8">
                <w:rPr>
                  <w:rFonts w:ascii="Times New Roman" w:hAnsi="Times New Roman" w:cs="Times New Roman"/>
                </w:rPr>
                <w:instrText xml:space="preserve"> BIBLIOGRAPHY </w:instrText>
              </w:r>
              <w:r w:rsidRPr="00834EA9">
                <w:rPr>
                  <w:rFonts w:ascii="Times New Roman" w:hAnsi="Times New Roman" w:cs="Times New Roman"/>
                </w:rPr>
                <w:fldChar w:fldCharType="separate"/>
              </w:r>
              <w:r w:rsidRPr="00D23FB8">
                <w:rPr>
                  <w:rFonts w:ascii="Times New Roman" w:hAnsi="Times New Roman" w:cs="Times New Roman"/>
                  <w:noProof/>
                </w:rPr>
                <w:t xml:space="preserve">Choi, M., &amp; Ruona, W. E. (2011). </w:t>
              </w:r>
              <w:r w:rsidRPr="00834EA9">
                <w:rPr>
                  <w:rFonts w:ascii="Times New Roman" w:hAnsi="Times New Roman" w:cs="Times New Roman"/>
                  <w:noProof/>
                </w:rPr>
                <w:t xml:space="preserve">INdividual Readiness for Organizational Change and Its Implications for Human Resource and Organization Development. </w:t>
              </w:r>
              <w:r w:rsidRPr="00834EA9">
                <w:rPr>
                  <w:rFonts w:ascii="Times New Roman" w:hAnsi="Times New Roman" w:cs="Times New Roman"/>
                  <w:i/>
                  <w:iCs/>
                  <w:noProof/>
                </w:rPr>
                <w:t>Human Resource Development Review</w:t>
              </w:r>
              <w:r w:rsidRPr="00834EA9">
                <w:rPr>
                  <w:rFonts w:ascii="Times New Roman" w:hAnsi="Times New Roman" w:cs="Times New Roman"/>
                  <w:noProof/>
                </w:rPr>
                <w:t>, 46-65.</w:t>
              </w:r>
            </w:p>
            <w:p w14:paraId="4F36714F" w14:textId="77777777" w:rsidR="003646C0" w:rsidRPr="00834EA9" w:rsidRDefault="003646C0" w:rsidP="00834EA9">
              <w:pPr>
                <w:pStyle w:val="Bibliography"/>
                <w:spacing w:line="480" w:lineRule="auto"/>
                <w:ind w:left="720" w:hanging="720"/>
                <w:rPr>
                  <w:rFonts w:ascii="Times New Roman" w:hAnsi="Times New Roman" w:cs="Times New Roman"/>
                  <w:noProof/>
                </w:rPr>
              </w:pPr>
              <w:r w:rsidRPr="00834EA9">
                <w:rPr>
                  <w:rFonts w:ascii="Times New Roman" w:hAnsi="Times New Roman" w:cs="Times New Roman"/>
                  <w:noProof/>
                </w:rPr>
                <w:t xml:space="preserve">Palmer, I., Dunford, R., &amp; Buchanan, D. A. (2017). </w:t>
              </w:r>
              <w:r w:rsidRPr="00834EA9">
                <w:rPr>
                  <w:rFonts w:ascii="Times New Roman" w:hAnsi="Times New Roman" w:cs="Times New Roman"/>
                  <w:i/>
                  <w:iCs/>
                  <w:noProof/>
                </w:rPr>
                <w:t>Managing Oranizational Change: A Multiple Perspectives Approach</w:t>
              </w:r>
              <w:r w:rsidRPr="00834EA9">
                <w:rPr>
                  <w:rFonts w:ascii="Times New Roman" w:hAnsi="Times New Roman" w:cs="Times New Roman"/>
                  <w:noProof/>
                </w:rPr>
                <w:t xml:space="preserve"> (Third ed.). New York, NY: McGraw-Hill Education.</w:t>
              </w:r>
            </w:p>
            <w:p w14:paraId="24A4336E" w14:textId="13C948BB" w:rsidR="003646C0" w:rsidRPr="00D23FB8" w:rsidRDefault="003646C0" w:rsidP="00834EA9">
              <w:pPr>
                <w:spacing w:line="480" w:lineRule="auto"/>
                <w:ind w:left="720" w:hanging="720"/>
                <w:rPr>
                  <w:rFonts w:ascii="Times New Roman" w:hAnsi="Times New Roman" w:cs="Times New Roman"/>
                </w:rPr>
              </w:pPr>
              <w:r w:rsidRPr="00834EA9">
                <w:rPr>
                  <w:rFonts w:ascii="Times New Roman" w:hAnsi="Times New Roman" w:cs="Times New Roman"/>
                  <w:b/>
                  <w:bCs/>
                  <w:noProof/>
                </w:rPr>
                <w:fldChar w:fldCharType="end"/>
              </w:r>
              <w:r w:rsidR="00834EA9" w:rsidRPr="00834EA9">
                <w:rPr>
                  <w:rFonts w:ascii="Times New Roman" w:hAnsi="Times New Roman" w:cs="Times New Roman"/>
                </w:rPr>
                <w:t xml:space="preserve"> Tamm, Jim. (2015, April). </w:t>
              </w:r>
              <w:r w:rsidR="00834EA9" w:rsidRPr="00834EA9">
                <w:rPr>
                  <w:rStyle w:val="Emphasis"/>
                  <w:rFonts w:ascii="Times New Roman" w:hAnsi="Times New Roman" w:cs="Times New Roman"/>
                </w:rPr>
                <w:t>First Step to Collaboration? Don’t be so defensive!</w:t>
              </w:r>
              <w:r w:rsidR="00834EA9" w:rsidRPr="00834EA9">
                <w:rPr>
                  <w:rFonts w:ascii="Times New Roman" w:hAnsi="Times New Roman" w:cs="Times New Roman"/>
                </w:rPr>
                <w:t xml:space="preserve"> [Video]. </w:t>
              </w:r>
              <w:r w:rsidR="00834EA9" w:rsidRPr="00D23FB8">
                <w:rPr>
                  <w:rFonts w:ascii="Times New Roman" w:hAnsi="Times New Roman" w:cs="Times New Roman"/>
                </w:rPr>
                <w:t>TEDxSantaCruz.https://www.ted.com/talks/jim_tamm_first_step_to_collaboration_don_t_be_so_defensive</w:t>
              </w:r>
            </w:p>
          </w:sdtContent>
        </w:sdt>
      </w:sdtContent>
    </w:sdt>
    <w:p w14:paraId="510CE0C4" w14:textId="77777777" w:rsidR="003646C0" w:rsidRPr="00D23FB8" w:rsidRDefault="003646C0" w:rsidP="00FA2231">
      <w:pPr>
        <w:pStyle w:val="NormalWeb"/>
        <w:shd w:val="clear" w:color="auto" w:fill="FFFFFF"/>
        <w:spacing w:line="480" w:lineRule="auto"/>
      </w:pPr>
    </w:p>
    <w:p w14:paraId="69876C4B" w14:textId="77777777" w:rsidR="00E55D4F" w:rsidRPr="00D23FB8" w:rsidRDefault="00E55D4F">
      <w:pPr>
        <w:spacing w:line="480" w:lineRule="auto"/>
        <w:ind w:firstLine="720"/>
        <w:rPr>
          <w:rFonts w:ascii="Times New Roman" w:eastAsia="Times New Roman" w:hAnsi="Times New Roman" w:cs="Times New Roman"/>
        </w:rPr>
      </w:pPr>
    </w:p>
    <w:sectPr w:rsidR="00E55D4F" w:rsidRPr="00D23FB8">
      <w:headerReference w:type="even" r:id="rId9"/>
      <w:head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E67A1" w14:textId="77777777" w:rsidR="009B3338" w:rsidRDefault="009B3338">
      <w:r>
        <w:separator/>
      </w:r>
    </w:p>
  </w:endnote>
  <w:endnote w:type="continuationSeparator" w:id="0">
    <w:p w14:paraId="7046AA25" w14:textId="77777777" w:rsidR="009B3338" w:rsidRDefault="009B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CB81F" w14:textId="77777777" w:rsidR="009B3338" w:rsidRDefault="009B3338">
      <w:r>
        <w:separator/>
      </w:r>
    </w:p>
  </w:footnote>
  <w:footnote w:type="continuationSeparator" w:id="0">
    <w:p w14:paraId="45C30CAF" w14:textId="77777777" w:rsidR="009B3338" w:rsidRDefault="009B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F853" w14:textId="77777777" w:rsidR="00A06E15" w:rsidRDefault="00E147D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8B22CDD" w14:textId="77777777" w:rsidR="00A06E15" w:rsidRDefault="00A06E15">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BED2" w14:textId="77777777" w:rsidR="00A06E15" w:rsidRDefault="00E147D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color w:val="000000"/>
      </w:rPr>
      <w:fldChar w:fldCharType="begin"/>
    </w:r>
    <w:r>
      <w:rPr>
        <w:color w:val="000000"/>
      </w:rPr>
      <w:instrText>PAGE</w:instrText>
    </w:r>
    <w:r>
      <w:rPr>
        <w:color w:val="000000"/>
      </w:rPr>
      <w:fldChar w:fldCharType="separate"/>
    </w:r>
    <w:r w:rsidR="00201AE9">
      <w:rPr>
        <w:noProof/>
        <w:color w:val="000000"/>
      </w:rPr>
      <w:t>2</w:t>
    </w:r>
    <w:r>
      <w:rPr>
        <w:color w:val="000000"/>
      </w:rPr>
      <w:fldChar w:fldCharType="end"/>
    </w:r>
  </w:p>
  <w:p w14:paraId="483775CD" w14:textId="6F22F07C" w:rsidR="00A06E15" w:rsidRDefault="00E147DA">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Assignment </w:t>
    </w:r>
    <w:r w:rsidR="00E55D4F">
      <w:rPr>
        <w:rFonts w:ascii="Times New Roman" w:eastAsia="Times New Roman" w:hAnsi="Times New Roman" w:cs="Times New Roman"/>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3E87C" w14:textId="77777777" w:rsidR="00A06E15" w:rsidRDefault="00E147D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01AE9">
      <w:rPr>
        <w:noProof/>
        <w:color w:val="000000"/>
      </w:rPr>
      <w:t>1</w:t>
    </w:r>
    <w:r>
      <w:rPr>
        <w:color w:val="000000"/>
      </w:rPr>
      <w:fldChar w:fldCharType="end"/>
    </w:r>
  </w:p>
  <w:p w14:paraId="455ACC8A" w14:textId="0FD0D00B" w:rsidR="00A06E15" w:rsidRDefault="00E147DA">
    <w:pPr>
      <w:pBdr>
        <w:top w:val="nil"/>
        <w:left w:val="nil"/>
        <w:bottom w:val="nil"/>
        <w:right w:val="nil"/>
        <w:between w:val="nil"/>
      </w:pBdr>
      <w:tabs>
        <w:tab w:val="center" w:pos="4680"/>
        <w:tab w:val="right" w:pos="9360"/>
      </w:tabs>
      <w:ind w:right="360"/>
      <w:rPr>
        <w:color w:val="000000"/>
      </w:rPr>
    </w:pPr>
    <w:r>
      <w:t xml:space="preserve">Assignment </w:t>
    </w:r>
    <w:r w:rsidR="0048599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B0C8B"/>
    <w:multiLevelType w:val="multilevel"/>
    <w:tmpl w:val="EA1A7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91736C"/>
    <w:multiLevelType w:val="hybridMultilevel"/>
    <w:tmpl w:val="27FA1BC0"/>
    <w:lvl w:ilvl="0" w:tplc="C1685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D7089F"/>
    <w:multiLevelType w:val="hybridMultilevel"/>
    <w:tmpl w:val="D6DC3044"/>
    <w:lvl w:ilvl="0" w:tplc="81FC395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B4E72"/>
    <w:multiLevelType w:val="multilevel"/>
    <w:tmpl w:val="5D945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15"/>
    <w:rsid w:val="00012949"/>
    <w:rsid w:val="00016FCC"/>
    <w:rsid w:val="00092410"/>
    <w:rsid w:val="00193247"/>
    <w:rsid w:val="001C0262"/>
    <w:rsid w:val="00201AE9"/>
    <w:rsid w:val="003646C0"/>
    <w:rsid w:val="004470E1"/>
    <w:rsid w:val="00485993"/>
    <w:rsid w:val="004B21A7"/>
    <w:rsid w:val="00500E64"/>
    <w:rsid w:val="00512689"/>
    <w:rsid w:val="00516B97"/>
    <w:rsid w:val="0054663D"/>
    <w:rsid w:val="00546E26"/>
    <w:rsid w:val="00792B86"/>
    <w:rsid w:val="007E56A2"/>
    <w:rsid w:val="00834EA9"/>
    <w:rsid w:val="00840308"/>
    <w:rsid w:val="00850B39"/>
    <w:rsid w:val="00876EFB"/>
    <w:rsid w:val="008D4438"/>
    <w:rsid w:val="00922C6B"/>
    <w:rsid w:val="009747FF"/>
    <w:rsid w:val="009B3338"/>
    <w:rsid w:val="009C3437"/>
    <w:rsid w:val="009E682A"/>
    <w:rsid w:val="00A028D8"/>
    <w:rsid w:val="00A06E15"/>
    <w:rsid w:val="00A3672E"/>
    <w:rsid w:val="00AB5493"/>
    <w:rsid w:val="00AF3B27"/>
    <w:rsid w:val="00B34F37"/>
    <w:rsid w:val="00D23FB8"/>
    <w:rsid w:val="00E147DA"/>
    <w:rsid w:val="00E55D4F"/>
    <w:rsid w:val="00EC42CA"/>
    <w:rsid w:val="00EF264C"/>
    <w:rsid w:val="00F2410E"/>
    <w:rsid w:val="00FA2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F85E"/>
  <w15:docId w15:val="{19F7FDC6-1EB6-4288-ACB8-FE42742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2577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2577E"/>
    <w:pPr>
      <w:tabs>
        <w:tab w:val="center" w:pos="4680"/>
        <w:tab w:val="right" w:pos="9360"/>
      </w:tabs>
    </w:pPr>
  </w:style>
  <w:style w:type="character" w:customStyle="1" w:styleId="HeaderChar">
    <w:name w:val="Header Char"/>
    <w:basedOn w:val="DefaultParagraphFont"/>
    <w:link w:val="Header"/>
    <w:uiPriority w:val="99"/>
    <w:rsid w:val="0042577E"/>
  </w:style>
  <w:style w:type="paragraph" w:styleId="Footer">
    <w:name w:val="footer"/>
    <w:basedOn w:val="Normal"/>
    <w:link w:val="FooterChar"/>
    <w:uiPriority w:val="99"/>
    <w:unhideWhenUsed/>
    <w:rsid w:val="0042577E"/>
    <w:pPr>
      <w:tabs>
        <w:tab w:val="center" w:pos="4680"/>
        <w:tab w:val="right" w:pos="9360"/>
      </w:tabs>
    </w:pPr>
  </w:style>
  <w:style w:type="character" w:customStyle="1" w:styleId="FooterChar">
    <w:name w:val="Footer Char"/>
    <w:basedOn w:val="DefaultParagraphFont"/>
    <w:link w:val="Footer"/>
    <w:uiPriority w:val="99"/>
    <w:rsid w:val="0042577E"/>
  </w:style>
  <w:style w:type="character" w:styleId="PageNumber">
    <w:name w:val="page number"/>
    <w:basedOn w:val="DefaultParagraphFont"/>
    <w:uiPriority w:val="99"/>
    <w:semiHidden/>
    <w:unhideWhenUsed/>
    <w:rsid w:val="0042577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3646C0"/>
    <w:rPr>
      <w:b/>
      <w:sz w:val="48"/>
      <w:szCs w:val="48"/>
    </w:rPr>
  </w:style>
  <w:style w:type="paragraph" w:styleId="Bibliography">
    <w:name w:val="Bibliography"/>
    <w:basedOn w:val="Normal"/>
    <w:next w:val="Normal"/>
    <w:uiPriority w:val="37"/>
    <w:unhideWhenUsed/>
    <w:rsid w:val="003646C0"/>
  </w:style>
  <w:style w:type="character" w:styleId="Emphasis">
    <w:name w:val="Emphasis"/>
    <w:basedOn w:val="DefaultParagraphFont"/>
    <w:uiPriority w:val="20"/>
    <w:qFormat/>
    <w:rsid w:val="00834EA9"/>
    <w:rPr>
      <w:i/>
      <w:iCs/>
    </w:rPr>
  </w:style>
  <w:style w:type="character" w:styleId="Hyperlink">
    <w:name w:val="Hyperlink"/>
    <w:basedOn w:val="DefaultParagraphFont"/>
    <w:uiPriority w:val="99"/>
    <w:semiHidden/>
    <w:unhideWhenUsed/>
    <w:rsid w:val="00834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15688">
      <w:bodyDiv w:val="1"/>
      <w:marLeft w:val="0"/>
      <w:marRight w:val="0"/>
      <w:marTop w:val="0"/>
      <w:marBottom w:val="0"/>
      <w:divBdr>
        <w:top w:val="none" w:sz="0" w:space="0" w:color="auto"/>
        <w:left w:val="none" w:sz="0" w:space="0" w:color="auto"/>
        <w:bottom w:val="none" w:sz="0" w:space="0" w:color="auto"/>
        <w:right w:val="none" w:sz="0" w:space="0" w:color="auto"/>
      </w:divBdr>
    </w:div>
    <w:div w:id="315573289">
      <w:bodyDiv w:val="1"/>
      <w:marLeft w:val="0"/>
      <w:marRight w:val="0"/>
      <w:marTop w:val="0"/>
      <w:marBottom w:val="0"/>
      <w:divBdr>
        <w:top w:val="none" w:sz="0" w:space="0" w:color="auto"/>
        <w:left w:val="none" w:sz="0" w:space="0" w:color="auto"/>
        <w:bottom w:val="none" w:sz="0" w:space="0" w:color="auto"/>
        <w:right w:val="none" w:sz="0" w:space="0" w:color="auto"/>
      </w:divBdr>
    </w:div>
    <w:div w:id="492649299">
      <w:bodyDiv w:val="1"/>
      <w:marLeft w:val="0"/>
      <w:marRight w:val="0"/>
      <w:marTop w:val="0"/>
      <w:marBottom w:val="0"/>
      <w:divBdr>
        <w:top w:val="none" w:sz="0" w:space="0" w:color="auto"/>
        <w:left w:val="none" w:sz="0" w:space="0" w:color="auto"/>
        <w:bottom w:val="none" w:sz="0" w:space="0" w:color="auto"/>
        <w:right w:val="none" w:sz="0" w:space="0" w:color="auto"/>
      </w:divBdr>
    </w:div>
    <w:div w:id="554203240">
      <w:bodyDiv w:val="1"/>
      <w:marLeft w:val="0"/>
      <w:marRight w:val="0"/>
      <w:marTop w:val="0"/>
      <w:marBottom w:val="0"/>
      <w:divBdr>
        <w:top w:val="none" w:sz="0" w:space="0" w:color="auto"/>
        <w:left w:val="none" w:sz="0" w:space="0" w:color="auto"/>
        <w:bottom w:val="none" w:sz="0" w:space="0" w:color="auto"/>
        <w:right w:val="none" w:sz="0" w:space="0" w:color="auto"/>
      </w:divBdr>
    </w:div>
    <w:div w:id="596790217">
      <w:bodyDiv w:val="1"/>
      <w:marLeft w:val="0"/>
      <w:marRight w:val="0"/>
      <w:marTop w:val="0"/>
      <w:marBottom w:val="0"/>
      <w:divBdr>
        <w:top w:val="none" w:sz="0" w:space="0" w:color="auto"/>
        <w:left w:val="none" w:sz="0" w:space="0" w:color="auto"/>
        <w:bottom w:val="none" w:sz="0" w:space="0" w:color="auto"/>
        <w:right w:val="none" w:sz="0" w:space="0" w:color="auto"/>
      </w:divBdr>
    </w:div>
    <w:div w:id="758140942">
      <w:bodyDiv w:val="1"/>
      <w:marLeft w:val="0"/>
      <w:marRight w:val="0"/>
      <w:marTop w:val="0"/>
      <w:marBottom w:val="0"/>
      <w:divBdr>
        <w:top w:val="none" w:sz="0" w:space="0" w:color="auto"/>
        <w:left w:val="none" w:sz="0" w:space="0" w:color="auto"/>
        <w:bottom w:val="none" w:sz="0" w:space="0" w:color="auto"/>
        <w:right w:val="none" w:sz="0" w:space="0" w:color="auto"/>
      </w:divBdr>
    </w:div>
    <w:div w:id="1062751369">
      <w:bodyDiv w:val="1"/>
      <w:marLeft w:val="0"/>
      <w:marRight w:val="0"/>
      <w:marTop w:val="0"/>
      <w:marBottom w:val="0"/>
      <w:divBdr>
        <w:top w:val="none" w:sz="0" w:space="0" w:color="auto"/>
        <w:left w:val="none" w:sz="0" w:space="0" w:color="auto"/>
        <w:bottom w:val="none" w:sz="0" w:space="0" w:color="auto"/>
        <w:right w:val="none" w:sz="0" w:space="0" w:color="auto"/>
      </w:divBdr>
    </w:div>
    <w:div w:id="1247106867">
      <w:bodyDiv w:val="1"/>
      <w:marLeft w:val="0"/>
      <w:marRight w:val="0"/>
      <w:marTop w:val="0"/>
      <w:marBottom w:val="0"/>
      <w:divBdr>
        <w:top w:val="none" w:sz="0" w:space="0" w:color="auto"/>
        <w:left w:val="none" w:sz="0" w:space="0" w:color="auto"/>
        <w:bottom w:val="none" w:sz="0" w:space="0" w:color="auto"/>
        <w:right w:val="none" w:sz="0" w:space="0" w:color="auto"/>
      </w:divBdr>
    </w:div>
    <w:div w:id="1453161872">
      <w:bodyDiv w:val="1"/>
      <w:marLeft w:val="0"/>
      <w:marRight w:val="0"/>
      <w:marTop w:val="0"/>
      <w:marBottom w:val="0"/>
      <w:divBdr>
        <w:top w:val="none" w:sz="0" w:space="0" w:color="auto"/>
        <w:left w:val="none" w:sz="0" w:space="0" w:color="auto"/>
        <w:bottom w:val="none" w:sz="0" w:space="0" w:color="auto"/>
        <w:right w:val="none" w:sz="0" w:space="0" w:color="auto"/>
      </w:divBdr>
    </w:div>
    <w:div w:id="1525439626">
      <w:bodyDiv w:val="1"/>
      <w:marLeft w:val="0"/>
      <w:marRight w:val="0"/>
      <w:marTop w:val="0"/>
      <w:marBottom w:val="0"/>
      <w:divBdr>
        <w:top w:val="none" w:sz="0" w:space="0" w:color="auto"/>
        <w:left w:val="none" w:sz="0" w:space="0" w:color="auto"/>
        <w:bottom w:val="none" w:sz="0" w:space="0" w:color="auto"/>
        <w:right w:val="none" w:sz="0" w:space="0" w:color="auto"/>
      </w:divBdr>
    </w:div>
    <w:div w:id="1532576023">
      <w:bodyDiv w:val="1"/>
      <w:marLeft w:val="0"/>
      <w:marRight w:val="0"/>
      <w:marTop w:val="0"/>
      <w:marBottom w:val="0"/>
      <w:divBdr>
        <w:top w:val="none" w:sz="0" w:space="0" w:color="auto"/>
        <w:left w:val="none" w:sz="0" w:space="0" w:color="auto"/>
        <w:bottom w:val="none" w:sz="0" w:space="0" w:color="auto"/>
        <w:right w:val="none" w:sz="0" w:space="0" w:color="auto"/>
      </w:divBdr>
    </w:div>
    <w:div w:id="1622494029">
      <w:bodyDiv w:val="1"/>
      <w:marLeft w:val="0"/>
      <w:marRight w:val="0"/>
      <w:marTop w:val="0"/>
      <w:marBottom w:val="0"/>
      <w:divBdr>
        <w:top w:val="none" w:sz="0" w:space="0" w:color="auto"/>
        <w:left w:val="none" w:sz="0" w:space="0" w:color="auto"/>
        <w:bottom w:val="none" w:sz="0" w:space="0" w:color="auto"/>
        <w:right w:val="none" w:sz="0" w:space="0" w:color="auto"/>
      </w:divBdr>
    </w:div>
    <w:div w:id="1742632545">
      <w:bodyDiv w:val="1"/>
      <w:marLeft w:val="0"/>
      <w:marRight w:val="0"/>
      <w:marTop w:val="0"/>
      <w:marBottom w:val="0"/>
      <w:divBdr>
        <w:top w:val="none" w:sz="0" w:space="0" w:color="auto"/>
        <w:left w:val="none" w:sz="0" w:space="0" w:color="auto"/>
        <w:bottom w:val="none" w:sz="0" w:space="0" w:color="auto"/>
        <w:right w:val="none" w:sz="0" w:space="0" w:color="auto"/>
      </w:divBdr>
    </w:div>
    <w:div w:id="1750226825">
      <w:bodyDiv w:val="1"/>
      <w:marLeft w:val="0"/>
      <w:marRight w:val="0"/>
      <w:marTop w:val="0"/>
      <w:marBottom w:val="0"/>
      <w:divBdr>
        <w:top w:val="none" w:sz="0" w:space="0" w:color="auto"/>
        <w:left w:val="none" w:sz="0" w:space="0" w:color="auto"/>
        <w:bottom w:val="none" w:sz="0" w:space="0" w:color="auto"/>
        <w:right w:val="none" w:sz="0" w:space="0" w:color="auto"/>
      </w:divBdr>
    </w:div>
    <w:div w:id="1768229831">
      <w:bodyDiv w:val="1"/>
      <w:marLeft w:val="0"/>
      <w:marRight w:val="0"/>
      <w:marTop w:val="0"/>
      <w:marBottom w:val="0"/>
      <w:divBdr>
        <w:top w:val="none" w:sz="0" w:space="0" w:color="auto"/>
        <w:left w:val="none" w:sz="0" w:space="0" w:color="auto"/>
        <w:bottom w:val="none" w:sz="0" w:space="0" w:color="auto"/>
        <w:right w:val="none" w:sz="0" w:space="0" w:color="auto"/>
      </w:divBdr>
    </w:div>
    <w:div w:id="1972903971">
      <w:bodyDiv w:val="1"/>
      <w:marLeft w:val="0"/>
      <w:marRight w:val="0"/>
      <w:marTop w:val="0"/>
      <w:marBottom w:val="0"/>
      <w:divBdr>
        <w:top w:val="none" w:sz="0" w:space="0" w:color="auto"/>
        <w:left w:val="none" w:sz="0" w:space="0" w:color="auto"/>
        <w:bottom w:val="none" w:sz="0" w:space="0" w:color="auto"/>
        <w:right w:val="none" w:sz="0" w:space="0" w:color="auto"/>
      </w:divBdr>
    </w:div>
    <w:div w:id="204108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ALd2hfRaIDHOV5iYko7+AZxYrg==">AMUW2mWQk/f5kWLVt0GBk8t1HSAESLpIcPmmZCaoS7Qk95nOj72Pyx4NeQy6okKxLsfneMjqqps8gaGbuGI8gZyK5YHpmbE/+7zOlsYGoHMOaaiK6DTzv+8=</go:docsCustomData>
</go:gDocsCustomXmlDataStorage>
</file>

<file path=customXml/item2.xml><?xml version="1.0" encoding="utf-8"?>
<b:Sources xmlns:b="http://schemas.openxmlformats.org/officeDocument/2006/bibliography" StyleName="APA" SelectedStyle="\APASixthEditionOfficeOnline.xsl" Version="6">
  <b:Source>
    <b:Tag>Pal17</b:Tag>
    <b:SourceType>Book</b:SourceType>
    <b:Guid>{B3210E9A-DC2A-4B6B-B617-515197D1D9AB}</b:Guid>
    <b:Title>Managing Oranizational Change: A Multiple Perspectives Approach</b:Title>
    <b:Year>2017</b:Year>
    <b:City>New York</b:City>
    <b:Publisher>McGraw-Hill Education</b:Publisher>
    <b:Author>
      <b:Author>
        <b:NameList>
          <b:Person>
            <b:Last>Palmer</b:Last>
            <b:First>Ian</b:First>
          </b:Person>
          <b:Person>
            <b:Last>Dunford</b:Last>
            <b:First>Richard</b:First>
          </b:Person>
          <b:Person>
            <b:Last>Buchanan</b:Last>
            <b:Middle>A</b:Middle>
            <b:First>David</b:First>
          </b:Person>
        </b:NameList>
      </b:Author>
    </b:Author>
    <b:StateProvince>NY</b:StateProvince>
    <b:Edition>Third</b:Edition>
    <b:RefOrder>2</b:RefOrder>
  </b:Source>
  <b:Source>
    <b:Tag>Cho11</b:Tag>
    <b:SourceType>JournalArticle</b:SourceType>
    <b:Guid>{613910CF-D6F6-4A20-A091-53664435CC3E}</b:Guid>
    <b:Title>INdividual Readiness for Organizational Change and Its Implications for Human Resource and Organization Development</b:Title>
    <b:Year>2011</b:Year>
    <b:JournalName>Human Resource Development Review</b:JournalName>
    <b:Pages>46-65</b:Pages>
    <b:Author>
      <b:Author>
        <b:NameList>
          <b:Person>
            <b:Last>Choi</b:Last>
            <b:First>Myungweon</b:First>
          </b:Person>
          <b:Person>
            <b:Last>Ruona</b:Last>
            <b:Middle>E. A.</b:Middle>
            <b:First>Wendy</b:First>
          </b:Person>
        </b:NameList>
      </b:Author>
    </b:Author>
    <b:RefOrder>1</b:RefOrder>
  </b:Source>
  <b:Source xmlns:b="http://schemas.openxmlformats.org/officeDocument/2006/bibliography" xmlns="http://schemas.openxmlformats.org/officeDocument/2006/bibliography">
    <b:Tag>Placeholder1</b:Tag>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67F3F6-32CA-42D2-A2D2-4811064E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Askins, Andrea Nicole</dc:creator>
  <cp:lastModifiedBy>Angela McCormick</cp:lastModifiedBy>
  <cp:revision>18</cp:revision>
  <dcterms:created xsi:type="dcterms:W3CDTF">2020-10-17T01:02:00Z</dcterms:created>
  <dcterms:modified xsi:type="dcterms:W3CDTF">2020-11-28T21:42:00Z</dcterms:modified>
</cp:coreProperties>
</file>